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Vellinge kommunfullmäktige</w:t>
      </w:r>
    </w:p>
    <w:p>
      <w:pPr>
        <w:pStyle w:val="Heading1"/>
      </w:pPr>
      <w:r>
        <w:t xml:space="preserve">Digital service och e-tjänster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Vellinge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SKR:s digitala index 2025 placerar Vellinge under genomsnittet för jämförbara kommuner. Invånarna efterfrågar fler digitala tjänster enligt kommunens medborgarenkät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Vellinge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 ansökan för alla vanliga tillstånd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genomföra en digitaliseringsplan med mätbara mål.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200 medarbetare i digitala verktyg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 årligen till fullmäktige.</w:t>
      </w:r>
    </w:p>
    <w:p>
      <w:pPr>
        <w:spacing w:before="360"/>
      </w:pPr>
    </w:p>
    <w:p>
      <w:r>
        <w:t xml:space="preserve">Vellinge,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Vellinge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2026-06-06T01:48:33.112Z</dcterms:created>
  <dcterms:modified xsi:type="dcterms:W3CDTF">2026-06-06T01:48:33.112Z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